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577C" w14:textId="029B3711" w:rsidR="00DE6FAE" w:rsidRPr="0082285D" w:rsidRDefault="005D2526" w:rsidP="00703521">
      <w:pPr>
        <w:pStyle w:val="Nagwek1"/>
        <w:spacing w:after="720"/>
        <w:jc w:val="center"/>
        <w:rPr>
          <w:color w:val="auto"/>
        </w:rPr>
      </w:pPr>
      <w:r w:rsidRPr="0082285D">
        <w:rPr>
          <w:color w:val="auto"/>
        </w:rPr>
        <w:t>Regulamin</w:t>
      </w:r>
      <w:r w:rsidR="00E672F4" w:rsidRPr="0082285D">
        <w:rPr>
          <w:color w:val="auto"/>
        </w:rPr>
        <w:t xml:space="preserve"> adaptacji materiałów dydaktycznych</w:t>
      </w:r>
      <w:r w:rsidR="00EB2C3B" w:rsidRPr="0082285D">
        <w:rPr>
          <w:color w:val="auto"/>
        </w:rPr>
        <w:t xml:space="preserve"> dla osób z</w:t>
      </w:r>
      <w:r w:rsidR="00A67DD9">
        <w:rPr>
          <w:color w:val="auto"/>
        </w:rPr>
        <w:t> </w:t>
      </w:r>
      <w:r w:rsidR="00EB2C3B" w:rsidRPr="0082285D">
        <w:rPr>
          <w:color w:val="auto"/>
        </w:rPr>
        <w:t>niepełnosprawnością wzroku</w:t>
      </w:r>
    </w:p>
    <w:p w14:paraId="3BA43CAE" w14:textId="06F18057" w:rsidR="007F7E2D" w:rsidRPr="0082285D" w:rsidRDefault="00B97171" w:rsidP="000943CB">
      <w:pPr>
        <w:pStyle w:val="Nagwek2"/>
        <w:numPr>
          <w:ilvl w:val="0"/>
          <w:numId w:val="16"/>
        </w:numPr>
        <w:rPr>
          <w:color w:val="auto"/>
        </w:rPr>
      </w:pPr>
      <w:r w:rsidRPr="0082285D">
        <w:rPr>
          <w:color w:val="auto"/>
        </w:rPr>
        <w:t xml:space="preserve"> </w:t>
      </w:r>
      <w:r w:rsidR="00554649" w:rsidRPr="0082285D">
        <w:rPr>
          <w:color w:val="auto"/>
        </w:rPr>
        <w:t>Usługa dostosowania materiałów</w:t>
      </w:r>
      <w:r w:rsidR="00A67DD9">
        <w:rPr>
          <w:color w:val="auto"/>
        </w:rPr>
        <w:t xml:space="preserve"> </w:t>
      </w:r>
      <w:r w:rsidR="00554649" w:rsidRPr="0082285D">
        <w:rPr>
          <w:color w:val="auto"/>
        </w:rPr>
        <w:t>edukacyjnych do form dostępnych</w:t>
      </w:r>
    </w:p>
    <w:p w14:paraId="078152FE" w14:textId="3C73D2BE" w:rsidR="007F7E2D" w:rsidRPr="0082285D" w:rsidRDefault="007F7E2D" w:rsidP="00703521">
      <w:r w:rsidRPr="0082285D">
        <w:t>Studenci, doktoranci oraz słuchacze szkoły doktorskiej Politechniki Wrocławskiej</w:t>
      </w:r>
      <w:r w:rsidR="00F15462">
        <w:t xml:space="preserve"> </w:t>
      </w:r>
      <w:r w:rsidRPr="0082285D">
        <w:t>z</w:t>
      </w:r>
      <w:r w:rsidR="00F15462">
        <w:t> </w:t>
      </w:r>
      <w:r w:rsidRPr="0082285D">
        <w:t>orzeczoną niepełnosprawnością mogą wnioskować o przyznanie usługi</w:t>
      </w:r>
      <w:r w:rsidR="00843526" w:rsidRPr="0082285D">
        <w:t xml:space="preserve"> </w:t>
      </w:r>
      <w:r w:rsidRPr="0082285D">
        <w:t>dostosowywania materiałów edukacyjnych do form dostępnych w postaci:</w:t>
      </w:r>
    </w:p>
    <w:p w14:paraId="6DCC1A48" w14:textId="1EB0D315" w:rsidR="007F7E2D" w:rsidRPr="0082285D" w:rsidRDefault="007F7E2D" w:rsidP="000943CB">
      <w:pPr>
        <w:pStyle w:val="Akapitzlist"/>
        <w:numPr>
          <w:ilvl w:val="0"/>
          <w:numId w:val="1"/>
        </w:numPr>
      </w:pPr>
      <w:r w:rsidRPr="0082285D">
        <w:t>jednorazowej usługi,</w:t>
      </w:r>
    </w:p>
    <w:p w14:paraId="009E8E7F" w14:textId="5D6FB624" w:rsidR="00243F30" w:rsidRPr="0082285D" w:rsidRDefault="00243F30" w:rsidP="000943CB">
      <w:pPr>
        <w:pStyle w:val="Akapitzlist"/>
        <w:numPr>
          <w:ilvl w:val="0"/>
          <w:numId w:val="1"/>
        </w:numPr>
      </w:pPr>
      <w:r w:rsidRPr="0082285D">
        <w:t>cyklicznej usługi.</w:t>
      </w:r>
    </w:p>
    <w:p w14:paraId="288C381B" w14:textId="10534E78" w:rsidR="001670CE" w:rsidRPr="0082285D" w:rsidRDefault="00B97171" w:rsidP="000943CB">
      <w:pPr>
        <w:pStyle w:val="Nagwek2"/>
        <w:numPr>
          <w:ilvl w:val="0"/>
          <w:numId w:val="16"/>
        </w:numPr>
        <w:rPr>
          <w:color w:val="auto"/>
        </w:rPr>
      </w:pPr>
      <w:r w:rsidRPr="0082285D">
        <w:rPr>
          <w:color w:val="auto"/>
        </w:rPr>
        <w:t xml:space="preserve"> </w:t>
      </w:r>
      <w:r w:rsidR="00554649" w:rsidRPr="0082285D">
        <w:rPr>
          <w:color w:val="auto"/>
        </w:rPr>
        <w:t>Zakres usługi</w:t>
      </w:r>
    </w:p>
    <w:p w14:paraId="09FF319A" w14:textId="1739ABB8" w:rsidR="001E3A97" w:rsidRPr="0082285D" w:rsidRDefault="00554649" w:rsidP="001E3A97">
      <w:r w:rsidRPr="0082285D">
        <w:t>Usługa swoim zakresem obejmuje dostosowanie:</w:t>
      </w:r>
    </w:p>
    <w:p w14:paraId="61CDBABD" w14:textId="10F23354" w:rsidR="001E3A97" w:rsidRPr="0082285D" w:rsidRDefault="001E3A97" w:rsidP="000943CB">
      <w:pPr>
        <w:pStyle w:val="Akapitzlist"/>
        <w:numPr>
          <w:ilvl w:val="0"/>
          <w:numId w:val="4"/>
        </w:numPr>
      </w:pPr>
      <w:r w:rsidRPr="0082285D">
        <w:t>Bieżących materiałów edukacyjnych,</w:t>
      </w:r>
    </w:p>
    <w:p w14:paraId="1A7D6D7D" w14:textId="7006C805" w:rsidR="001E3A97" w:rsidRPr="0082285D" w:rsidRDefault="001E3A97" w:rsidP="000943CB">
      <w:pPr>
        <w:pStyle w:val="Akapitzlist"/>
        <w:numPr>
          <w:ilvl w:val="0"/>
          <w:numId w:val="4"/>
        </w:numPr>
      </w:pPr>
      <w:r w:rsidRPr="0082285D">
        <w:t>Literatury w tym publikacji, artykułów naukowych, itp.</w:t>
      </w:r>
    </w:p>
    <w:p w14:paraId="5D5BBD57" w14:textId="66F61C38" w:rsidR="00554649" w:rsidRPr="0082285D" w:rsidRDefault="00B97171" w:rsidP="000943CB">
      <w:pPr>
        <w:pStyle w:val="Nagwek2"/>
        <w:numPr>
          <w:ilvl w:val="0"/>
          <w:numId w:val="16"/>
        </w:numPr>
        <w:rPr>
          <w:color w:val="auto"/>
        </w:rPr>
      </w:pPr>
      <w:r w:rsidRPr="0082285D">
        <w:rPr>
          <w:color w:val="auto"/>
        </w:rPr>
        <w:t xml:space="preserve"> </w:t>
      </w:r>
      <w:r w:rsidR="00AF7EC7" w:rsidRPr="0082285D">
        <w:rPr>
          <w:color w:val="auto"/>
        </w:rPr>
        <w:t>Odbiorcy usługi</w:t>
      </w:r>
    </w:p>
    <w:p w14:paraId="739967B2" w14:textId="54D49A92" w:rsidR="00CE7ACB" w:rsidRPr="0082285D" w:rsidRDefault="00CE7ACB" w:rsidP="00CE7ACB">
      <w:r w:rsidRPr="0082285D">
        <w:t>Odbiorcami usługi są w szczególności osoby z niepełnosprawnościami sensorycznymi: osoby z dysfunkcją wzroku</w:t>
      </w:r>
      <w:r w:rsidR="00404260">
        <w:t xml:space="preserve"> (m.in. osoby niewidome, słabowidzące).</w:t>
      </w:r>
    </w:p>
    <w:p w14:paraId="2A4B19D7" w14:textId="0AA58D41" w:rsidR="00B63958" w:rsidRPr="0082285D" w:rsidRDefault="00B97171" w:rsidP="000943CB">
      <w:pPr>
        <w:pStyle w:val="Nagwek2"/>
        <w:numPr>
          <w:ilvl w:val="0"/>
          <w:numId w:val="16"/>
        </w:numPr>
        <w:rPr>
          <w:color w:val="auto"/>
        </w:rPr>
      </w:pPr>
      <w:r w:rsidRPr="0082285D">
        <w:rPr>
          <w:color w:val="auto"/>
        </w:rPr>
        <w:t xml:space="preserve"> </w:t>
      </w:r>
      <w:r w:rsidR="00B63958" w:rsidRPr="0082285D">
        <w:rPr>
          <w:color w:val="auto"/>
        </w:rPr>
        <w:t>Przebieg procesu</w:t>
      </w:r>
    </w:p>
    <w:p w14:paraId="02E2F3ED" w14:textId="5FC7B7A9" w:rsidR="00640DA4" w:rsidRPr="0082285D" w:rsidRDefault="00B63958" w:rsidP="000943CB">
      <w:pPr>
        <w:pStyle w:val="Nagwek3"/>
        <w:numPr>
          <w:ilvl w:val="1"/>
          <w:numId w:val="13"/>
        </w:numPr>
        <w:rPr>
          <w:color w:val="auto"/>
        </w:rPr>
      </w:pPr>
      <w:r w:rsidRPr="0082285D">
        <w:rPr>
          <w:color w:val="auto"/>
        </w:rPr>
        <w:t>Wniosek o usługę</w:t>
      </w:r>
    </w:p>
    <w:p w14:paraId="7B0CC6CC" w14:textId="0C6FACB1" w:rsidR="00CE7ACB" w:rsidRPr="0082285D" w:rsidRDefault="00CE7ACB" w:rsidP="000943CB">
      <w:pPr>
        <w:pStyle w:val="Akapitzlist"/>
        <w:numPr>
          <w:ilvl w:val="0"/>
          <w:numId w:val="5"/>
        </w:numPr>
      </w:pPr>
      <w:r w:rsidRPr="0082285D">
        <w:t>Wnioskujący zaznacza:</w:t>
      </w:r>
    </w:p>
    <w:p w14:paraId="2A65196D" w14:textId="77777777" w:rsidR="005273ED" w:rsidRPr="0082285D" w:rsidRDefault="00CE7ACB" w:rsidP="000943CB">
      <w:pPr>
        <w:pStyle w:val="Akapitzlist"/>
        <w:numPr>
          <w:ilvl w:val="0"/>
          <w:numId w:val="9"/>
        </w:numPr>
      </w:pPr>
      <w:r w:rsidRPr="0082285D">
        <w:t>Jednorazowe zlecenie dostosowania materiałów edukacyjnych,</w:t>
      </w:r>
    </w:p>
    <w:p w14:paraId="33A3B348" w14:textId="79E03BDA" w:rsidR="00CE7ACB" w:rsidRPr="0082285D" w:rsidRDefault="00CE7ACB" w:rsidP="000943CB">
      <w:pPr>
        <w:pStyle w:val="Akapitzlist"/>
        <w:numPr>
          <w:ilvl w:val="0"/>
          <w:numId w:val="9"/>
        </w:numPr>
      </w:pPr>
      <w:r w:rsidRPr="0082285D">
        <w:t>Przyznanie usługi dostosowywania materiałów edukacyjnych w procesie ciągłym na okres semestru.</w:t>
      </w:r>
    </w:p>
    <w:p w14:paraId="6302A865" w14:textId="77777777" w:rsidR="00842AAB" w:rsidRPr="0082285D" w:rsidRDefault="00CE7ACB" w:rsidP="000943CB">
      <w:pPr>
        <w:pStyle w:val="Akapitzlist"/>
        <w:numPr>
          <w:ilvl w:val="0"/>
          <w:numId w:val="5"/>
        </w:numPr>
      </w:pPr>
      <w:r w:rsidRPr="0082285D">
        <w:t>W kolejnym kroku wnioskujący zaznacza określony rodzaj niepełnosprawności wzroku:</w:t>
      </w:r>
    </w:p>
    <w:p w14:paraId="009A5BB0" w14:textId="77777777" w:rsidR="00842AAB" w:rsidRPr="0082285D" w:rsidRDefault="00CE7ACB" w:rsidP="000943CB">
      <w:pPr>
        <w:pStyle w:val="Akapitzlist"/>
        <w:numPr>
          <w:ilvl w:val="0"/>
          <w:numId w:val="10"/>
        </w:numPr>
      </w:pPr>
      <w:r w:rsidRPr="0082285D">
        <w:t>niewidomy,</w:t>
      </w:r>
    </w:p>
    <w:p w14:paraId="0D2AB5AD" w14:textId="77777777" w:rsidR="00842AAB" w:rsidRPr="0082285D" w:rsidRDefault="00CE7ACB" w:rsidP="000943CB">
      <w:pPr>
        <w:pStyle w:val="Akapitzlist"/>
        <w:numPr>
          <w:ilvl w:val="0"/>
          <w:numId w:val="10"/>
        </w:numPr>
      </w:pPr>
      <w:r w:rsidRPr="0082285D">
        <w:t>słabowidzący,</w:t>
      </w:r>
    </w:p>
    <w:p w14:paraId="4F9FA2D2" w14:textId="5A265F81" w:rsidR="00CE7ACB" w:rsidRPr="0082285D" w:rsidRDefault="00CE7ACB" w:rsidP="000943CB">
      <w:pPr>
        <w:pStyle w:val="Akapitzlist"/>
        <w:numPr>
          <w:ilvl w:val="0"/>
          <w:numId w:val="10"/>
        </w:numPr>
      </w:pPr>
      <w:r w:rsidRPr="0082285D">
        <w:t>inny rodzaj niepełnosprawności.</w:t>
      </w:r>
    </w:p>
    <w:p w14:paraId="67ED763B" w14:textId="77777777" w:rsidR="00FF5D7A" w:rsidRPr="0082285D" w:rsidRDefault="00CE7ACB" w:rsidP="000943CB">
      <w:pPr>
        <w:pStyle w:val="Akapitzlist"/>
        <w:numPr>
          <w:ilvl w:val="0"/>
          <w:numId w:val="5"/>
        </w:numPr>
      </w:pPr>
      <w:r w:rsidRPr="0082285D">
        <w:lastRenderedPageBreak/>
        <w:t>Na podstawie wyboru w kroku 2 wnioskujący jest pytany o preferencje dotyczące dostosowania. Posiada możliwość zaznaczenia kilku preferencji. Możliwymi formami adaptacji materiałów jest:</w:t>
      </w:r>
    </w:p>
    <w:p w14:paraId="2E875E0A" w14:textId="77777777" w:rsidR="00FF5D7A" w:rsidRPr="0082285D" w:rsidRDefault="00CE7ACB" w:rsidP="000943CB">
      <w:pPr>
        <w:pStyle w:val="Akapitzlist"/>
        <w:numPr>
          <w:ilvl w:val="0"/>
          <w:numId w:val="11"/>
        </w:numPr>
      </w:pPr>
      <w:r w:rsidRPr="0082285D">
        <w:t>postać elektroniczna,</w:t>
      </w:r>
    </w:p>
    <w:p w14:paraId="3FAB5EF6" w14:textId="77777777" w:rsidR="00FF5D7A" w:rsidRPr="0082285D" w:rsidRDefault="00CE7ACB" w:rsidP="000943CB">
      <w:pPr>
        <w:pStyle w:val="Akapitzlist"/>
        <w:numPr>
          <w:ilvl w:val="0"/>
          <w:numId w:val="11"/>
        </w:numPr>
      </w:pPr>
      <w:r w:rsidRPr="0082285D">
        <w:t>papierowe wydruki w powiększonej czcionce,</w:t>
      </w:r>
    </w:p>
    <w:p w14:paraId="2A5AF22D" w14:textId="77777777" w:rsidR="00FF5D7A" w:rsidRPr="0082285D" w:rsidRDefault="00CE7ACB" w:rsidP="000943CB">
      <w:pPr>
        <w:pStyle w:val="Akapitzlist"/>
        <w:numPr>
          <w:ilvl w:val="0"/>
          <w:numId w:val="11"/>
        </w:numPr>
      </w:pPr>
      <w:r w:rsidRPr="0082285D">
        <w:t>adaptacja materiału i jego wydruk w alfabecie brajla,</w:t>
      </w:r>
    </w:p>
    <w:p w14:paraId="7D5A9C77" w14:textId="50D22ED1" w:rsidR="00CE7ACB" w:rsidRPr="0082285D" w:rsidRDefault="00CE7ACB" w:rsidP="000943CB">
      <w:pPr>
        <w:pStyle w:val="Akapitzlist"/>
        <w:numPr>
          <w:ilvl w:val="0"/>
          <w:numId w:val="11"/>
        </w:numPr>
      </w:pPr>
      <w:r w:rsidRPr="0082285D">
        <w:t>przygotowanie grafik dotykowych.</w:t>
      </w:r>
    </w:p>
    <w:p w14:paraId="18317453" w14:textId="08FDC40E" w:rsidR="00CE7ACB" w:rsidRPr="0082285D" w:rsidRDefault="00CE7ACB" w:rsidP="000943CB">
      <w:pPr>
        <w:pStyle w:val="Akapitzlist"/>
        <w:numPr>
          <w:ilvl w:val="0"/>
          <w:numId w:val="5"/>
        </w:numPr>
      </w:pPr>
      <w:r w:rsidRPr="0082285D">
        <w:t>Wnioskujący ma możliwość dołączenia materiałów edukacyjnych w formie załączników, lub hiperłączy odsyłających do konkretnego materiału.</w:t>
      </w:r>
    </w:p>
    <w:p w14:paraId="67CC65D6" w14:textId="77777777" w:rsidR="00FF5D7A" w:rsidRPr="0082285D" w:rsidRDefault="00CE7ACB" w:rsidP="000943CB">
      <w:pPr>
        <w:pStyle w:val="Akapitzlist"/>
        <w:numPr>
          <w:ilvl w:val="1"/>
          <w:numId w:val="6"/>
        </w:numPr>
      </w:pPr>
      <w:r w:rsidRPr="0082285D">
        <w:t>Każdy załączany materiał powinien być przyporządkowany do kategorii:</w:t>
      </w:r>
    </w:p>
    <w:p w14:paraId="409A942E" w14:textId="77777777" w:rsidR="00FF5D7A" w:rsidRPr="0082285D" w:rsidRDefault="00CE7ACB" w:rsidP="000943CB">
      <w:pPr>
        <w:pStyle w:val="Akapitzlist"/>
        <w:numPr>
          <w:ilvl w:val="0"/>
          <w:numId w:val="12"/>
        </w:numPr>
      </w:pPr>
      <w:r w:rsidRPr="0082285D">
        <w:t>Materiał bieżący,</w:t>
      </w:r>
    </w:p>
    <w:p w14:paraId="3EA10734" w14:textId="77777777" w:rsidR="00FF5D7A" w:rsidRPr="0082285D" w:rsidRDefault="00CE7ACB" w:rsidP="000943CB">
      <w:pPr>
        <w:pStyle w:val="Akapitzlist"/>
        <w:numPr>
          <w:ilvl w:val="0"/>
          <w:numId w:val="12"/>
        </w:numPr>
      </w:pPr>
      <w:r w:rsidRPr="0082285D">
        <w:t>Literatura,</w:t>
      </w:r>
    </w:p>
    <w:p w14:paraId="48C89024" w14:textId="4B455A2B" w:rsidR="00CE7ACB" w:rsidRPr="0082285D" w:rsidRDefault="00CE7ACB" w:rsidP="000943CB">
      <w:pPr>
        <w:pStyle w:val="Akapitzlist"/>
        <w:numPr>
          <w:ilvl w:val="0"/>
          <w:numId w:val="12"/>
        </w:numPr>
      </w:pPr>
      <w:r w:rsidRPr="0082285D">
        <w:t>Materiał niestandardowy.</w:t>
      </w:r>
    </w:p>
    <w:p w14:paraId="6735EA0D" w14:textId="77777777" w:rsidR="00B51FC8" w:rsidRPr="0082285D" w:rsidRDefault="00CE7ACB" w:rsidP="000943CB">
      <w:pPr>
        <w:pStyle w:val="Akapitzlist"/>
        <w:numPr>
          <w:ilvl w:val="1"/>
          <w:numId w:val="6"/>
        </w:numPr>
      </w:pPr>
      <w:r w:rsidRPr="0082285D">
        <w:t>Wnioskujący ma możliwość zaznaczenia priorytetu dla dostosowania</w:t>
      </w:r>
    </w:p>
    <w:p w14:paraId="4BB9D6F8" w14:textId="79EBD421" w:rsidR="00CE7ACB" w:rsidRPr="0082285D" w:rsidRDefault="00CE7ACB" w:rsidP="000943CB">
      <w:pPr>
        <w:pStyle w:val="Akapitzlist"/>
        <w:numPr>
          <w:ilvl w:val="0"/>
          <w:numId w:val="7"/>
        </w:numPr>
      </w:pPr>
      <w:r w:rsidRPr="0082285D">
        <w:t>"Normalny" - priorytet domyślny,</w:t>
      </w:r>
    </w:p>
    <w:p w14:paraId="3378BC9D" w14:textId="40871B5A" w:rsidR="00CE7ACB" w:rsidRPr="0082285D" w:rsidRDefault="00CE7ACB" w:rsidP="000943CB">
      <w:pPr>
        <w:pStyle w:val="Akapitzlist"/>
        <w:numPr>
          <w:ilvl w:val="0"/>
          <w:numId w:val="7"/>
        </w:numPr>
      </w:pPr>
      <w:r w:rsidRPr="0082285D">
        <w:t>"Wysoki",</w:t>
      </w:r>
    </w:p>
    <w:p w14:paraId="39E8A8AE" w14:textId="0024A42B" w:rsidR="00CE7ACB" w:rsidRPr="0082285D" w:rsidRDefault="00CE7ACB" w:rsidP="000943CB">
      <w:pPr>
        <w:pStyle w:val="Akapitzlist"/>
        <w:numPr>
          <w:ilvl w:val="0"/>
          <w:numId w:val="7"/>
        </w:numPr>
      </w:pPr>
      <w:r w:rsidRPr="0082285D">
        <w:t>"Pilny".</w:t>
      </w:r>
    </w:p>
    <w:p w14:paraId="2D9BE64A" w14:textId="79AC1464" w:rsidR="00CE7ACB" w:rsidRPr="0082285D" w:rsidRDefault="00CE7ACB" w:rsidP="000943CB">
      <w:pPr>
        <w:pStyle w:val="Akapitzlist"/>
        <w:numPr>
          <w:ilvl w:val="1"/>
          <w:numId w:val="6"/>
        </w:numPr>
      </w:pPr>
      <w:r w:rsidRPr="0082285D">
        <w:t>Wnioskujący ma możliwość opcjonalnego dodania uwag do załączonego materiału edukacyjnego.</w:t>
      </w:r>
    </w:p>
    <w:p w14:paraId="30564F8B" w14:textId="75ACD484" w:rsidR="00CE7ACB" w:rsidRPr="0082285D" w:rsidRDefault="00CE7ACB" w:rsidP="000943CB">
      <w:pPr>
        <w:pStyle w:val="Akapitzlist"/>
        <w:numPr>
          <w:ilvl w:val="1"/>
          <w:numId w:val="6"/>
        </w:numPr>
      </w:pPr>
      <w:r w:rsidRPr="0082285D">
        <w:t>Wnioskujący ma możliwość opcjonalnego dodania uwag do wniosku.</w:t>
      </w:r>
    </w:p>
    <w:p w14:paraId="12C98E11" w14:textId="595BD427" w:rsidR="009D5FE1" w:rsidRPr="0082285D" w:rsidRDefault="003C67C3" w:rsidP="000943CB">
      <w:pPr>
        <w:pStyle w:val="Nagwek3"/>
        <w:numPr>
          <w:ilvl w:val="1"/>
          <w:numId w:val="13"/>
        </w:numPr>
        <w:rPr>
          <w:color w:val="auto"/>
        </w:rPr>
      </w:pPr>
      <w:r w:rsidRPr="0082285D">
        <w:rPr>
          <w:color w:val="auto"/>
        </w:rPr>
        <w:t>Rozpatrywanie</w:t>
      </w:r>
    </w:p>
    <w:p w14:paraId="7B0274A3" w14:textId="4E17EE81" w:rsidR="00971AA5" w:rsidRPr="0082285D" w:rsidRDefault="00971AA5" w:rsidP="000943CB">
      <w:pPr>
        <w:pStyle w:val="Akapitzlist"/>
        <w:numPr>
          <w:ilvl w:val="0"/>
          <w:numId w:val="8"/>
        </w:numPr>
      </w:pPr>
      <w:r w:rsidRPr="0082285D">
        <w:t>Dział Dostępności zapoznaje się z otrzymanym wnioskiem oraz dołączonymi lub wskazanymi opcjonalnie materiałami edukacyjnymi.</w:t>
      </w:r>
    </w:p>
    <w:p w14:paraId="31CDA93F" w14:textId="3BCE78F0" w:rsidR="009D5FE1" w:rsidRPr="0082285D" w:rsidRDefault="007B38F3" w:rsidP="000943CB">
      <w:pPr>
        <w:pStyle w:val="Akapitzlist"/>
        <w:numPr>
          <w:ilvl w:val="0"/>
          <w:numId w:val="8"/>
        </w:numPr>
        <w:rPr>
          <w:rFonts w:ascii="Cambria" w:hAnsi="Cambria"/>
        </w:rPr>
      </w:pPr>
      <w:r w:rsidRPr="0082285D">
        <w:t>W uzasadnionych przypadkach przeprowadzana jest indywidualna konsultacja z Wnioskującym, w trakcie której ustalany jest zakres niezbędnych prac i weryfikacja rzeczywistych potrzeb.</w:t>
      </w:r>
    </w:p>
    <w:p w14:paraId="053F6C0B" w14:textId="5AE58289" w:rsidR="003C67C3" w:rsidRPr="0082285D" w:rsidRDefault="007B38F3" w:rsidP="000943CB">
      <w:pPr>
        <w:pStyle w:val="Akapitzlist"/>
        <w:numPr>
          <w:ilvl w:val="0"/>
          <w:numId w:val="8"/>
        </w:numPr>
        <w:rPr>
          <w:rFonts w:ascii="Cambria" w:hAnsi="Cambria"/>
        </w:rPr>
      </w:pPr>
      <w:r w:rsidRPr="0082285D">
        <w:t>W przypadku wnioskowania o adaptację  materiałów edukacyjnych</w:t>
      </w:r>
      <w:r w:rsidR="009221D3" w:rsidRPr="0082285D">
        <w:t xml:space="preserve"> p</w:t>
      </w:r>
      <w:r w:rsidRPr="0082285D">
        <w:t xml:space="preserve">rzeprowadzana jest analiza przekazanych materiałów, źródłowych, w tym m.in: weryfikacja poziomu trudności, odnalezienia niestandardowych elementów itp. </w:t>
      </w:r>
    </w:p>
    <w:p w14:paraId="1B5DA994" w14:textId="0C28A23A" w:rsidR="00640DA4" w:rsidRPr="0082285D" w:rsidRDefault="00B97171" w:rsidP="000943CB">
      <w:pPr>
        <w:pStyle w:val="Nagwek2"/>
        <w:numPr>
          <w:ilvl w:val="0"/>
          <w:numId w:val="16"/>
        </w:numPr>
        <w:rPr>
          <w:color w:val="auto"/>
        </w:rPr>
      </w:pPr>
      <w:r w:rsidRPr="0082285D">
        <w:rPr>
          <w:color w:val="auto"/>
        </w:rPr>
        <w:t xml:space="preserve"> </w:t>
      </w:r>
      <w:r w:rsidR="009221D3" w:rsidRPr="0082285D">
        <w:rPr>
          <w:color w:val="auto"/>
        </w:rPr>
        <w:t>Terminy</w:t>
      </w:r>
    </w:p>
    <w:p w14:paraId="79FA48D2" w14:textId="77777777" w:rsidR="00050B06" w:rsidRPr="00050B06" w:rsidRDefault="00050B06" w:rsidP="000943CB">
      <w:pPr>
        <w:pStyle w:val="Akapitzlist"/>
        <w:keepNext/>
        <w:keepLines/>
        <w:numPr>
          <w:ilvl w:val="0"/>
          <w:numId w:val="14"/>
        </w:numPr>
        <w:spacing w:before="200" w:after="120"/>
        <w:contextualSpacing w:val="0"/>
        <w:outlineLvl w:val="2"/>
        <w:rPr>
          <w:rFonts w:ascii="Verdana" w:eastAsiaTheme="majorEastAsia" w:hAnsi="Verdana" w:cstheme="majorBidi"/>
          <w:b/>
          <w:vanish/>
          <w:sz w:val="28"/>
          <w:szCs w:val="24"/>
        </w:rPr>
      </w:pPr>
    </w:p>
    <w:p w14:paraId="59574CCB" w14:textId="77777777" w:rsidR="00050B06" w:rsidRPr="00050B06" w:rsidRDefault="00050B06" w:rsidP="000943CB">
      <w:pPr>
        <w:pStyle w:val="Akapitzlist"/>
        <w:keepNext/>
        <w:keepLines/>
        <w:numPr>
          <w:ilvl w:val="0"/>
          <w:numId w:val="14"/>
        </w:numPr>
        <w:spacing w:before="200" w:after="120"/>
        <w:contextualSpacing w:val="0"/>
        <w:outlineLvl w:val="2"/>
        <w:rPr>
          <w:rFonts w:ascii="Verdana" w:eastAsiaTheme="majorEastAsia" w:hAnsi="Verdana" w:cstheme="majorBidi"/>
          <w:b/>
          <w:vanish/>
          <w:sz w:val="28"/>
          <w:szCs w:val="24"/>
        </w:rPr>
      </w:pPr>
    </w:p>
    <w:p w14:paraId="23E24AAF" w14:textId="77777777" w:rsidR="006978FE" w:rsidRPr="006978FE" w:rsidRDefault="006978FE" w:rsidP="000943CB">
      <w:pPr>
        <w:pStyle w:val="Akapitzlist"/>
        <w:keepNext/>
        <w:keepLines/>
        <w:numPr>
          <w:ilvl w:val="0"/>
          <w:numId w:val="15"/>
        </w:numPr>
        <w:spacing w:before="200" w:after="120"/>
        <w:contextualSpacing w:val="0"/>
        <w:outlineLvl w:val="2"/>
        <w:rPr>
          <w:rFonts w:ascii="Verdana" w:eastAsiaTheme="majorEastAsia" w:hAnsi="Verdana" w:cstheme="majorBidi"/>
          <w:b/>
          <w:vanish/>
          <w:sz w:val="28"/>
          <w:szCs w:val="24"/>
        </w:rPr>
      </w:pPr>
    </w:p>
    <w:p w14:paraId="35AB94FF" w14:textId="77777777" w:rsidR="006978FE" w:rsidRPr="006978FE" w:rsidRDefault="006978FE" w:rsidP="000943CB">
      <w:pPr>
        <w:pStyle w:val="Akapitzlist"/>
        <w:keepNext/>
        <w:keepLines/>
        <w:numPr>
          <w:ilvl w:val="0"/>
          <w:numId w:val="15"/>
        </w:numPr>
        <w:spacing w:before="200" w:after="120"/>
        <w:contextualSpacing w:val="0"/>
        <w:outlineLvl w:val="2"/>
        <w:rPr>
          <w:rFonts w:ascii="Verdana" w:eastAsiaTheme="majorEastAsia" w:hAnsi="Verdana" w:cstheme="majorBidi"/>
          <w:b/>
          <w:vanish/>
          <w:sz w:val="28"/>
          <w:szCs w:val="24"/>
        </w:rPr>
      </w:pPr>
    </w:p>
    <w:p w14:paraId="49A8C4CA" w14:textId="77777777" w:rsidR="006978FE" w:rsidRPr="006978FE" w:rsidRDefault="006978FE" w:rsidP="000943CB">
      <w:pPr>
        <w:pStyle w:val="Akapitzlist"/>
        <w:keepNext/>
        <w:keepLines/>
        <w:numPr>
          <w:ilvl w:val="0"/>
          <w:numId w:val="15"/>
        </w:numPr>
        <w:spacing w:before="200" w:after="120"/>
        <w:contextualSpacing w:val="0"/>
        <w:outlineLvl w:val="2"/>
        <w:rPr>
          <w:rFonts w:ascii="Verdana" w:eastAsiaTheme="majorEastAsia" w:hAnsi="Verdana" w:cstheme="majorBidi"/>
          <w:b/>
          <w:vanish/>
          <w:sz w:val="28"/>
          <w:szCs w:val="24"/>
        </w:rPr>
      </w:pPr>
    </w:p>
    <w:p w14:paraId="0BCBB528" w14:textId="77777777" w:rsidR="006978FE" w:rsidRPr="006978FE" w:rsidRDefault="006978FE" w:rsidP="000943CB">
      <w:pPr>
        <w:pStyle w:val="Akapitzlist"/>
        <w:keepNext/>
        <w:keepLines/>
        <w:numPr>
          <w:ilvl w:val="0"/>
          <w:numId w:val="15"/>
        </w:numPr>
        <w:spacing w:before="200" w:after="120"/>
        <w:contextualSpacing w:val="0"/>
        <w:outlineLvl w:val="2"/>
        <w:rPr>
          <w:rFonts w:ascii="Verdana" w:eastAsiaTheme="majorEastAsia" w:hAnsi="Verdana" w:cstheme="majorBidi"/>
          <w:b/>
          <w:vanish/>
          <w:sz w:val="28"/>
          <w:szCs w:val="24"/>
        </w:rPr>
      </w:pPr>
    </w:p>
    <w:p w14:paraId="6AD2DA04" w14:textId="77777777" w:rsidR="006978FE" w:rsidRPr="006978FE" w:rsidRDefault="006978FE" w:rsidP="000943CB">
      <w:pPr>
        <w:pStyle w:val="Akapitzlist"/>
        <w:keepNext/>
        <w:keepLines/>
        <w:numPr>
          <w:ilvl w:val="0"/>
          <w:numId w:val="15"/>
        </w:numPr>
        <w:spacing w:before="200" w:after="120"/>
        <w:contextualSpacing w:val="0"/>
        <w:outlineLvl w:val="2"/>
        <w:rPr>
          <w:rFonts w:ascii="Verdana" w:eastAsiaTheme="majorEastAsia" w:hAnsi="Verdana" w:cstheme="majorBidi"/>
          <w:b/>
          <w:vanish/>
          <w:sz w:val="28"/>
          <w:szCs w:val="24"/>
        </w:rPr>
      </w:pPr>
    </w:p>
    <w:p w14:paraId="44691FCD" w14:textId="20F1799A" w:rsidR="009221D3" w:rsidRPr="0082285D" w:rsidRDefault="009221D3" w:rsidP="000943CB">
      <w:pPr>
        <w:pStyle w:val="Nagwek3"/>
        <w:numPr>
          <w:ilvl w:val="1"/>
          <w:numId w:val="15"/>
        </w:numPr>
        <w:ind w:left="1560"/>
        <w:rPr>
          <w:color w:val="auto"/>
        </w:rPr>
      </w:pPr>
      <w:r w:rsidRPr="0082285D">
        <w:rPr>
          <w:color w:val="auto"/>
        </w:rPr>
        <w:t>Bieżące materiały edukacyjne</w:t>
      </w:r>
    </w:p>
    <w:p w14:paraId="43D1618F" w14:textId="1036D7C0" w:rsidR="00F21395" w:rsidRPr="0082285D" w:rsidRDefault="00F21395" w:rsidP="000943CB">
      <w:pPr>
        <w:pStyle w:val="Akapitzlist"/>
        <w:numPr>
          <w:ilvl w:val="0"/>
          <w:numId w:val="2"/>
        </w:numPr>
      </w:pPr>
      <w:r w:rsidRPr="0082285D">
        <w:t xml:space="preserve">Przekazanie materiału (incydentalnie, na pojedyncze zajęcia) przez Wnioskującego powinno nastąpić nie później niż na 5 dni roboczych przed planowanym terminem ich wykorzystania. </w:t>
      </w:r>
      <w:r w:rsidR="008B162C">
        <w:br/>
      </w:r>
      <w:r w:rsidR="008B162C">
        <w:br/>
      </w:r>
      <w:r w:rsidRPr="0082285D">
        <w:lastRenderedPageBreak/>
        <w:t>W przypadku braku możliwości przygotowania materiału w tym terminie D</w:t>
      </w:r>
      <w:r w:rsidR="008B162C">
        <w:t>ZD</w:t>
      </w:r>
      <w:r w:rsidRPr="0082285D">
        <w:t xml:space="preserve"> określa termin przygotowania materiału - jeśli to jeszcze będzie celowe/uzasadnione.</w:t>
      </w:r>
    </w:p>
    <w:p w14:paraId="2F9519AE" w14:textId="31ECDF8E" w:rsidR="00F21395" w:rsidRPr="0082285D" w:rsidRDefault="00F21395" w:rsidP="000943CB">
      <w:pPr>
        <w:pStyle w:val="Akapitzlist"/>
        <w:numPr>
          <w:ilvl w:val="0"/>
          <w:numId w:val="2"/>
        </w:numPr>
      </w:pPr>
      <w:r w:rsidRPr="0082285D">
        <w:t>W przypadku zapotrzebowania na większą ilość materiałów, harmonogram  przygotowania tych materiałów ustalany na podstawie indywidualnej analizy.</w:t>
      </w:r>
    </w:p>
    <w:p w14:paraId="61AF5991" w14:textId="6C58D3B1" w:rsidR="00640DA4" w:rsidRPr="0082285D" w:rsidRDefault="00F21395" w:rsidP="000943CB">
      <w:pPr>
        <w:pStyle w:val="Nagwek3"/>
        <w:numPr>
          <w:ilvl w:val="1"/>
          <w:numId w:val="15"/>
        </w:numPr>
        <w:ind w:left="1560"/>
        <w:rPr>
          <w:color w:val="auto"/>
        </w:rPr>
      </w:pPr>
      <w:r w:rsidRPr="0082285D">
        <w:rPr>
          <w:color w:val="auto"/>
        </w:rPr>
        <w:t>Literatura</w:t>
      </w:r>
    </w:p>
    <w:p w14:paraId="49FADFB3" w14:textId="77777777" w:rsidR="00A67DD9" w:rsidRDefault="00F21395" w:rsidP="000943CB">
      <w:pPr>
        <w:pStyle w:val="Akapitzlist"/>
        <w:numPr>
          <w:ilvl w:val="0"/>
          <w:numId w:val="3"/>
        </w:numPr>
      </w:pPr>
      <w:r w:rsidRPr="0082285D">
        <w:t>Przekazanie pojedynczej publikacji przez Wnioskującego z wyprzedzeniem minimum 1 miesiąca.</w:t>
      </w:r>
    </w:p>
    <w:p w14:paraId="2CBFA1F9" w14:textId="2CD2A629" w:rsidR="002C7D48" w:rsidRDefault="00F21395" w:rsidP="00A67DD9">
      <w:pPr>
        <w:ind w:left="360"/>
      </w:pPr>
      <w:r w:rsidRPr="0082285D">
        <w:t>W przypadku większej ilości literatury harmonogram ustalany na podstawie indywidualnej analizy.</w:t>
      </w:r>
    </w:p>
    <w:p w14:paraId="283D398E" w14:textId="1FEFF336" w:rsidR="00A67DD9" w:rsidRDefault="00A67DD9" w:rsidP="000943CB">
      <w:pPr>
        <w:pStyle w:val="Nagwek2"/>
        <w:numPr>
          <w:ilvl w:val="0"/>
          <w:numId w:val="16"/>
        </w:numPr>
        <w:rPr>
          <w:color w:val="auto"/>
        </w:rPr>
      </w:pPr>
      <w:r w:rsidRPr="00A67DD9">
        <w:rPr>
          <w:color w:val="auto"/>
        </w:rPr>
        <w:t xml:space="preserve"> </w:t>
      </w:r>
      <w:r w:rsidR="007A0ACB">
        <w:rPr>
          <w:color w:val="auto"/>
        </w:rPr>
        <w:t>Dodatkowe informacje</w:t>
      </w:r>
    </w:p>
    <w:p w14:paraId="53E66244" w14:textId="0F06E6D6" w:rsidR="00A67DD9" w:rsidRPr="00A67DD9" w:rsidRDefault="007A0ACB" w:rsidP="00A67DD9">
      <w:r>
        <w:t>Materiały dydaktyczne, których prowadzący nie chce udostępniać wnioskującemu przed zajęciami może samodzielnie przekazać do adaptacji do Działu Dostępności</w:t>
      </w:r>
      <w:r w:rsidR="008B162C">
        <w:t>.</w:t>
      </w:r>
    </w:p>
    <w:p w14:paraId="5C50CC6B" w14:textId="1EE2A0BB" w:rsidR="003875B2" w:rsidRDefault="003875B2" w:rsidP="00517314">
      <w:pPr>
        <w:spacing w:before="600"/>
      </w:pPr>
      <w:r>
        <w:t>Załączniki:</w:t>
      </w:r>
    </w:p>
    <w:p w14:paraId="773CE219" w14:textId="17374DD9" w:rsidR="003875B2" w:rsidRDefault="005B0B8C" w:rsidP="00E66BA6">
      <w:r>
        <w:t>Wniosek o przyznanie cyklicznej usługi dostosowania materiałów</w:t>
      </w:r>
      <w:r w:rsidR="00F15462">
        <w:t xml:space="preserve"> </w:t>
      </w:r>
      <w:r>
        <w:t>dydaktycznych</w:t>
      </w:r>
      <w:r w:rsidR="00F15462">
        <w:t xml:space="preserve"> - </w:t>
      </w:r>
      <w:r w:rsidR="00517314">
        <w:t>załącznik nr 1</w:t>
      </w:r>
    </w:p>
    <w:p w14:paraId="6D8F7C49" w14:textId="58BA013D" w:rsidR="005B0B8C" w:rsidRDefault="005B0B8C" w:rsidP="005B0B8C">
      <w:pPr>
        <w:tabs>
          <w:tab w:val="left" w:pos="7078"/>
        </w:tabs>
      </w:pPr>
      <w:r>
        <w:t>Wniosek o przyznanie jednorazowej usługi dostosowania materiałów dydaktycznych</w:t>
      </w:r>
      <w:r w:rsidR="00F15462">
        <w:t xml:space="preserve"> - z</w:t>
      </w:r>
      <w:r w:rsidR="00517314" w:rsidRPr="00517314">
        <w:t>ałącznik nr 2</w:t>
      </w:r>
    </w:p>
    <w:p w14:paraId="7000E27E" w14:textId="4486802E" w:rsidR="005B0B8C" w:rsidRPr="0082285D" w:rsidRDefault="005B0B8C" w:rsidP="005B0B8C">
      <w:pPr>
        <w:tabs>
          <w:tab w:val="left" w:pos="7078"/>
        </w:tabs>
      </w:pPr>
      <w:r>
        <w:t>Deklaracja przestrzegania praw autorskich</w:t>
      </w:r>
      <w:r w:rsidR="00517314">
        <w:t xml:space="preserve"> </w:t>
      </w:r>
      <w:r w:rsidR="00F15462">
        <w:t>-</w:t>
      </w:r>
      <w:r w:rsidR="00517314">
        <w:t xml:space="preserve"> załącznik nr 3</w:t>
      </w:r>
    </w:p>
    <w:sectPr w:rsidR="005B0B8C" w:rsidRPr="0082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394"/>
    <w:multiLevelType w:val="hybridMultilevel"/>
    <w:tmpl w:val="A5146B78"/>
    <w:lvl w:ilvl="0" w:tplc="4E2078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247"/>
    <w:multiLevelType w:val="hybridMultilevel"/>
    <w:tmpl w:val="247E5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063AD"/>
    <w:multiLevelType w:val="multilevel"/>
    <w:tmpl w:val="9F5E5C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16D50FA3"/>
    <w:multiLevelType w:val="hybridMultilevel"/>
    <w:tmpl w:val="A0E0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7AEA"/>
    <w:multiLevelType w:val="hybridMultilevel"/>
    <w:tmpl w:val="50125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17351"/>
    <w:multiLevelType w:val="multilevel"/>
    <w:tmpl w:val="F20C7D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6" w15:restartNumberingAfterBreak="0">
    <w:nsid w:val="29986540"/>
    <w:multiLevelType w:val="multilevel"/>
    <w:tmpl w:val="17BAA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7" w15:restartNumberingAfterBreak="0">
    <w:nsid w:val="29BA1243"/>
    <w:multiLevelType w:val="multilevel"/>
    <w:tmpl w:val="F20C7D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8" w15:restartNumberingAfterBreak="0">
    <w:nsid w:val="2E053F1F"/>
    <w:multiLevelType w:val="hybridMultilevel"/>
    <w:tmpl w:val="D8EC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3B3B"/>
    <w:multiLevelType w:val="multilevel"/>
    <w:tmpl w:val="048E1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0" w15:restartNumberingAfterBreak="0">
    <w:nsid w:val="3680123A"/>
    <w:multiLevelType w:val="hybridMultilevel"/>
    <w:tmpl w:val="D32CC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2056D"/>
    <w:multiLevelType w:val="hybridMultilevel"/>
    <w:tmpl w:val="92D2F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4C226C"/>
    <w:multiLevelType w:val="hybridMultilevel"/>
    <w:tmpl w:val="7A76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963C1"/>
    <w:multiLevelType w:val="hybridMultilevel"/>
    <w:tmpl w:val="779A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D4015"/>
    <w:multiLevelType w:val="hybridMultilevel"/>
    <w:tmpl w:val="5A6681C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64FF4502"/>
    <w:multiLevelType w:val="hybridMultilevel"/>
    <w:tmpl w:val="D9A6795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14"/>
  </w:num>
  <w:num w:numId="13">
    <w:abstractNumId w:val="7"/>
  </w:num>
  <w:num w:numId="14">
    <w:abstractNumId w:val="2"/>
  </w:num>
  <w:num w:numId="15">
    <w:abstractNumId w:val="6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A9"/>
    <w:rsid w:val="00050B06"/>
    <w:rsid w:val="00052302"/>
    <w:rsid w:val="000943CB"/>
    <w:rsid w:val="001670CE"/>
    <w:rsid w:val="001D0602"/>
    <w:rsid w:val="001E3A97"/>
    <w:rsid w:val="00214128"/>
    <w:rsid w:val="00237732"/>
    <w:rsid w:val="002434EF"/>
    <w:rsid w:val="00243F30"/>
    <w:rsid w:val="002B6CFD"/>
    <w:rsid w:val="002C7D48"/>
    <w:rsid w:val="00380ACA"/>
    <w:rsid w:val="00381F61"/>
    <w:rsid w:val="003875B2"/>
    <w:rsid w:val="003A4B0E"/>
    <w:rsid w:val="003C67C3"/>
    <w:rsid w:val="00404260"/>
    <w:rsid w:val="00452C21"/>
    <w:rsid w:val="004E71EC"/>
    <w:rsid w:val="00513562"/>
    <w:rsid w:val="00517314"/>
    <w:rsid w:val="00523C33"/>
    <w:rsid w:val="005273ED"/>
    <w:rsid w:val="00554649"/>
    <w:rsid w:val="00585F2A"/>
    <w:rsid w:val="005B0B8C"/>
    <w:rsid w:val="005D2526"/>
    <w:rsid w:val="005D2F38"/>
    <w:rsid w:val="00622EB9"/>
    <w:rsid w:val="00640DA4"/>
    <w:rsid w:val="006978FE"/>
    <w:rsid w:val="006C3388"/>
    <w:rsid w:val="00703521"/>
    <w:rsid w:val="007342A9"/>
    <w:rsid w:val="007A0ACB"/>
    <w:rsid w:val="007A21DD"/>
    <w:rsid w:val="007B38F3"/>
    <w:rsid w:val="007B7B6D"/>
    <w:rsid w:val="007C46B3"/>
    <w:rsid w:val="007F7E2D"/>
    <w:rsid w:val="0082285D"/>
    <w:rsid w:val="00842AAB"/>
    <w:rsid w:val="00843526"/>
    <w:rsid w:val="00882E37"/>
    <w:rsid w:val="008B162C"/>
    <w:rsid w:val="009221D3"/>
    <w:rsid w:val="00971AA5"/>
    <w:rsid w:val="009903C1"/>
    <w:rsid w:val="009D3D3C"/>
    <w:rsid w:val="009D5FE1"/>
    <w:rsid w:val="00A443A7"/>
    <w:rsid w:val="00A52F8A"/>
    <w:rsid w:val="00A67DD9"/>
    <w:rsid w:val="00AF7EC7"/>
    <w:rsid w:val="00B51FC8"/>
    <w:rsid w:val="00B63958"/>
    <w:rsid w:val="00B97171"/>
    <w:rsid w:val="00C472DF"/>
    <w:rsid w:val="00CD6524"/>
    <w:rsid w:val="00CD75F7"/>
    <w:rsid w:val="00CE7ACB"/>
    <w:rsid w:val="00DC4760"/>
    <w:rsid w:val="00DE6FAE"/>
    <w:rsid w:val="00E61151"/>
    <w:rsid w:val="00E63C4E"/>
    <w:rsid w:val="00E66BA6"/>
    <w:rsid w:val="00E672F4"/>
    <w:rsid w:val="00EA2F8F"/>
    <w:rsid w:val="00EB2C3B"/>
    <w:rsid w:val="00EB6D8C"/>
    <w:rsid w:val="00ED2923"/>
    <w:rsid w:val="00F15462"/>
    <w:rsid w:val="00F21395"/>
    <w:rsid w:val="00F22CD9"/>
    <w:rsid w:val="00F80765"/>
    <w:rsid w:val="00F92248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EE56"/>
  <w15:chartTrackingRefBased/>
  <w15:docId w15:val="{097CDE2A-91F2-46ED-9471-E84E3316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BA6"/>
    <w:pPr>
      <w:spacing w:line="30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C4E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521"/>
    <w:pPr>
      <w:keepNext/>
      <w:keepLines/>
      <w:spacing w:before="200" w:after="120"/>
      <w:outlineLvl w:val="1"/>
    </w:pPr>
    <w:rPr>
      <w:rFonts w:ascii="Verdana" w:eastAsiaTheme="majorEastAsia" w:hAnsi="Verdana" w:cstheme="majorBidi"/>
      <w:b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3521"/>
    <w:pPr>
      <w:keepNext/>
      <w:keepLines/>
      <w:spacing w:before="200" w:after="120"/>
      <w:outlineLvl w:val="2"/>
    </w:pPr>
    <w:rPr>
      <w:rFonts w:ascii="Verdana" w:eastAsiaTheme="majorEastAsia" w:hAnsi="Verdana" w:cstheme="majorBidi"/>
      <w:b/>
      <w:color w:val="1F3763" w:themeColor="accent1" w:themeShade="7F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2A9"/>
    <w:pPr>
      <w:keepNext/>
      <w:keepLines/>
      <w:spacing w:before="40" w:after="0"/>
      <w:outlineLvl w:val="3"/>
    </w:pPr>
    <w:rPr>
      <w:rFonts w:ascii="Verdana" w:eastAsiaTheme="majorEastAsia" w:hAnsi="Verdana" w:cstheme="majorBidi"/>
      <w:iCs/>
      <w:color w:val="2F5496" w:themeColor="accent1" w:themeShade="BF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2A9"/>
    <w:pPr>
      <w:keepNext/>
      <w:keepLines/>
      <w:spacing w:before="40" w:after="0"/>
      <w:outlineLvl w:val="4"/>
    </w:pPr>
    <w:rPr>
      <w:rFonts w:ascii="Verdana" w:eastAsiaTheme="majorEastAsia" w:hAnsi="Verdana" w:cstheme="majorBidi"/>
      <w:i/>
      <w:color w:val="2F5496" w:themeColor="accent1" w:themeShade="B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de">
    <w:name w:val="Code"/>
    <w:basedOn w:val="Normalny"/>
    <w:qFormat/>
    <w:rsid w:val="007342A9"/>
    <w:rPr>
      <w:rFonts w:ascii="Courier New" w:hAnsi="Courier New"/>
    </w:rPr>
  </w:style>
  <w:style w:type="character" w:customStyle="1" w:styleId="Nagwek1Znak">
    <w:name w:val="Nagłówek 1 Znak"/>
    <w:basedOn w:val="Domylnaczcionkaakapitu"/>
    <w:link w:val="Nagwek1"/>
    <w:uiPriority w:val="9"/>
    <w:rsid w:val="00E63C4E"/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3521"/>
    <w:rPr>
      <w:rFonts w:ascii="Verdana" w:eastAsiaTheme="majorEastAsia" w:hAnsi="Verdana" w:cstheme="majorBidi"/>
      <w:b/>
      <w:color w:val="2F5496" w:themeColor="accent1" w:themeShade="BF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3521"/>
    <w:rPr>
      <w:rFonts w:ascii="Verdana" w:eastAsiaTheme="majorEastAsia" w:hAnsi="Verdana" w:cstheme="majorBidi"/>
      <w:b/>
      <w:color w:val="1F3763" w:themeColor="accent1" w:themeShade="7F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2A9"/>
    <w:rPr>
      <w:rFonts w:ascii="Verdana" w:eastAsiaTheme="majorEastAsia" w:hAnsi="Verdana" w:cstheme="majorBidi"/>
      <w:iCs/>
      <w:color w:val="2F5496" w:themeColor="accent1" w:themeShade="BF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2A9"/>
    <w:rPr>
      <w:rFonts w:ascii="Verdana" w:eastAsiaTheme="majorEastAsia" w:hAnsi="Verdana" w:cstheme="majorBidi"/>
      <w:i/>
      <w:color w:val="2F5496" w:themeColor="accent1" w:themeShade="BF"/>
      <w:sz w:val="28"/>
    </w:rPr>
  </w:style>
  <w:style w:type="character" w:styleId="Hipercze">
    <w:name w:val="Hyperlink"/>
    <w:basedOn w:val="Domylnaczcionkaakapitu"/>
    <w:uiPriority w:val="99"/>
    <w:unhideWhenUsed/>
    <w:rsid w:val="00513562"/>
    <w:rPr>
      <w:color w:val="0563C1" w:themeColor="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7342A9"/>
    <w:pPr>
      <w:spacing w:before="200"/>
      <w:ind w:left="864" w:right="864"/>
      <w:jc w:val="center"/>
    </w:pPr>
    <w:rPr>
      <w:b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2A9"/>
    <w:rPr>
      <w:rFonts w:ascii="Arial" w:hAnsi="Arial"/>
      <w:b/>
      <w:i/>
      <w:iCs/>
      <w:color w:val="404040" w:themeColor="text1" w:themeTint="BF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5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135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3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56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562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6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FDAB-13C6-4B4A-8089-CFEC27F0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adaptacji materiałów dydaktycznych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adaptacji materiałów dydaktycznych</dc:title>
  <dc:subject/>
  <dc:creator>Agata Pakuła</dc:creator>
  <cp:keywords/>
  <dc:description/>
  <cp:lastModifiedBy>Anna Zgrzebnicka</cp:lastModifiedBy>
  <cp:revision>3</cp:revision>
  <dcterms:created xsi:type="dcterms:W3CDTF">2023-10-11T06:54:00Z</dcterms:created>
  <dcterms:modified xsi:type="dcterms:W3CDTF">2025-01-07T09:15:00Z</dcterms:modified>
</cp:coreProperties>
</file>